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7E4B4E"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E4B4E">
        <w:rPr>
          <w:rFonts w:asciiTheme="minorHAnsi" w:hAnsiTheme="minorHAnsi"/>
          <w:b/>
          <w:noProof/>
          <w:sz w:val="28"/>
          <w:szCs w:val="28"/>
        </w:rPr>
        <w:t>12</w:t>
      </w:r>
      <w:r w:rsidR="007645BD" w:rsidRPr="003B2450">
        <w:rPr>
          <w:rFonts w:asciiTheme="minorHAnsi" w:hAnsiTheme="minorHAnsi"/>
          <w:b/>
          <w:noProof/>
          <w:sz w:val="28"/>
          <w:szCs w:val="28"/>
        </w:rPr>
        <w:t xml:space="preserve"> </w:t>
      </w:r>
      <w:r w:rsidR="006245A5">
        <w:rPr>
          <w:rFonts w:asciiTheme="minorHAnsi" w:hAnsiTheme="minorHAnsi"/>
          <w:b/>
          <w:noProof/>
          <w:sz w:val="28"/>
          <w:szCs w:val="28"/>
        </w:rPr>
        <w:t>Οκτω</w:t>
      </w:r>
      <w:r w:rsidR="00293A72">
        <w:rPr>
          <w:rFonts w:asciiTheme="minorHAnsi" w:hAnsiTheme="minorHAnsi"/>
          <w:b/>
          <w:noProof/>
          <w:sz w:val="28"/>
          <w:szCs w:val="28"/>
        </w:rPr>
        <w:t>βρί</w:t>
      </w:r>
      <w:r w:rsidR="00382881">
        <w:rPr>
          <w:rFonts w:asciiTheme="minorHAnsi" w:hAnsiTheme="minorHAnsi"/>
          <w:b/>
          <w:noProof/>
          <w:sz w:val="28"/>
          <w:szCs w:val="28"/>
        </w:rPr>
        <w:t>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963E37"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67345EC1" wp14:editId="5F240520">
                <wp:simplePos x="0" y="0"/>
                <wp:positionH relativeFrom="margin">
                  <wp:posOffset>2657475</wp:posOffset>
                </wp:positionH>
                <wp:positionV relativeFrom="paragraph">
                  <wp:posOffset>55245</wp:posOffset>
                </wp:positionV>
                <wp:extent cx="3081655" cy="8153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8153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963E37" w:rsidP="00C27DFA">
                            <w:pPr>
                              <w:rPr>
                                <w:rFonts w:asciiTheme="minorHAnsi" w:hAnsiTheme="minorHAnsi" w:cs="Arial"/>
                                <w:sz w:val="28"/>
                                <w:szCs w:val="28"/>
                              </w:rPr>
                            </w:pPr>
                            <w:r>
                              <w:rPr>
                                <w:rFonts w:asciiTheme="minorHAnsi" w:hAnsiTheme="minorHAnsi"/>
                                <w:b/>
                                <w:sz w:val="28"/>
                                <w:szCs w:val="28"/>
                                <w:lang w:val="en-US"/>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45EC1" id="_x0000_t202" coordsize="21600,21600" o:spt="202" path="m,l,21600r21600,l21600,xe">
                <v:stroke joinstyle="miter"/>
                <v:path gradientshapeok="t" o:connecttype="rect"/>
              </v:shapetype>
              <v:shape id="Text Box 3" o:spid="_x0000_s1027" type="#_x0000_t202" style="position:absolute;left:0;text-align:left;margin-left:209.25pt;margin-top:4.35pt;width:242.65pt;height:6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963E37" w:rsidP="00C27DFA">
                      <w:pPr>
                        <w:rPr>
                          <w:rFonts w:asciiTheme="minorHAnsi" w:hAnsiTheme="minorHAnsi" w:cs="Arial"/>
                          <w:sz w:val="28"/>
                          <w:szCs w:val="28"/>
                        </w:rPr>
                      </w:pPr>
                      <w:r>
                        <w:rPr>
                          <w:rFonts w:asciiTheme="minorHAnsi" w:hAnsiTheme="minorHAnsi"/>
                          <w:b/>
                          <w:sz w:val="28"/>
                          <w:szCs w:val="28"/>
                          <w:lang w:val="en-US"/>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bookmarkStart w:id="0" w:name="_GoBack"/>
      <w:bookmarkEnd w:id="0"/>
    </w:p>
    <w:p w:rsidR="005504AA" w:rsidRDefault="005504AA" w:rsidP="005504AA">
      <w:pPr>
        <w:jc w:val="center"/>
        <w:rPr>
          <w:rFonts w:asciiTheme="minorHAnsi" w:hAnsiTheme="minorHAnsi" w:cs="Arial"/>
          <w:b/>
          <w:bCs/>
          <w:sz w:val="32"/>
          <w:szCs w:val="32"/>
          <w:u w:val="single"/>
        </w:rPr>
      </w:pPr>
    </w:p>
    <w:p w:rsidR="007E4B4E" w:rsidRPr="007E4B4E" w:rsidRDefault="007E4B4E" w:rsidP="00ED49A6">
      <w:pPr>
        <w:spacing w:line="360" w:lineRule="auto"/>
        <w:rPr>
          <w:rFonts w:asciiTheme="minorHAnsi" w:hAnsiTheme="minorHAnsi" w:cstheme="minorHAnsi"/>
        </w:rPr>
      </w:pPr>
      <w:r w:rsidRPr="007E4B4E">
        <w:rPr>
          <w:rFonts w:asciiTheme="minorHAnsi" w:hAnsiTheme="minorHAnsi" w:cstheme="minorHAnsi"/>
        </w:rPr>
        <w:t>ΘΕΜΑ : ‘’ 72 νέοι υπάλληλοι, με 8μηνες συμβάσεις, θα προσληφθούν στο Δήμο Κω μέσω του προγράμματος κοινωφελούς εργασίας’’</w:t>
      </w:r>
    </w:p>
    <w:p w:rsidR="007E4B4E" w:rsidRPr="007E4B4E" w:rsidRDefault="007E4B4E" w:rsidP="007E4B4E">
      <w:pPr>
        <w:rPr>
          <w:rFonts w:asciiTheme="minorHAnsi" w:hAnsiTheme="minorHAnsi" w:cstheme="minorHAnsi"/>
        </w:rPr>
      </w:pPr>
    </w:p>
    <w:p w:rsidR="007E4B4E" w:rsidRPr="007E4B4E" w:rsidRDefault="007E4B4E" w:rsidP="007E4B4E">
      <w:pPr>
        <w:spacing w:line="360" w:lineRule="auto"/>
        <w:ind w:firstLine="720"/>
        <w:jc w:val="both"/>
        <w:rPr>
          <w:rFonts w:asciiTheme="minorHAnsi" w:hAnsiTheme="minorHAnsi" w:cstheme="minorHAnsi"/>
        </w:rPr>
      </w:pP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ab/>
        <w:t xml:space="preserve">Με 72 </w:t>
      </w:r>
      <w:r w:rsidRPr="007E4B4E">
        <w:rPr>
          <w:rFonts w:asciiTheme="minorHAnsi" w:eastAsia="Calibri" w:hAnsiTheme="minorHAnsi" w:cstheme="minorHAnsi"/>
        </w:rPr>
        <w:t>νέους υπαλλήλους μέσω του προγράμματος κοινωφελούς εργασίας αναμένεται να ενισχυθεί ο Δήμος Κω. Οι συγκεκριμένο</w:t>
      </w:r>
      <w:r w:rsidRPr="007E4B4E">
        <w:rPr>
          <w:rFonts w:asciiTheme="minorHAnsi" w:hAnsiTheme="minorHAnsi" w:cstheme="minorHAnsi"/>
        </w:rPr>
        <w:t>ι υπάλληλοι θα απασχοληθούν</w:t>
      </w:r>
      <w:r w:rsidRPr="007E4B4E">
        <w:rPr>
          <w:rFonts w:asciiTheme="minorHAnsi" w:eastAsia="Calibri" w:hAnsiTheme="minorHAnsi" w:cstheme="minorHAnsi"/>
        </w:rPr>
        <w:t xml:space="preserve"> για χρονικό διάστημα οκτώ μηνών.</w:t>
      </w:r>
    </w:p>
    <w:p w:rsidR="007E4B4E" w:rsidRPr="007E4B4E" w:rsidRDefault="007E4B4E" w:rsidP="007E4B4E">
      <w:pPr>
        <w:spacing w:line="360" w:lineRule="auto"/>
        <w:jc w:val="both"/>
        <w:rPr>
          <w:rFonts w:asciiTheme="minorHAnsi" w:hAnsiTheme="minorHAnsi" w:cstheme="minorHAnsi"/>
        </w:rPr>
      </w:pPr>
      <w:r w:rsidRPr="007E4B4E">
        <w:rPr>
          <w:rFonts w:asciiTheme="minorHAnsi" w:eastAsia="Calibri" w:hAnsiTheme="minorHAnsi" w:cstheme="minorHAnsi"/>
        </w:rPr>
        <w:tab/>
        <w:t xml:space="preserve">Σύμφωνα με το σχεδιασμό της δημοτικής αρχής και την πρόταση του Δήμου Κω ,που υποβλήθηκε ηλεκτρονικά την Παρασκευή 7 Οκτωβρίου, οι νέοι υπάλληλοι θα απασχοληθούν σε όλες τις υπηρεσίες του Δήμου, σε σχολεία και στον ΔΟΠΑΒΣ. </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Σ</w:t>
      </w:r>
      <w:r w:rsidRPr="007E4B4E">
        <w:rPr>
          <w:rFonts w:asciiTheme="minorHAnsi" w:eastAsia="Calibri" w:hAnsiTheme="minorHAnsi" w:cstheme="minorHAnsi"/>
        </w:rPr>
        <w:t xml:space="preserve">υγκεκριμένα από τις 72 θέσεις, οι 14 </w:t>
      </w:r>
      <w:r w:rsidRPr="007E4B4E">
        <w:rPr>
          <w:rFonts w:asciiTheme="minorHAnsi" w:hAnsiTheme="minorHAnsi" w:cstheme="minorHAnsi"/>
        </w:rPr>
        <w:t>αφορούν σε θέσεις εργασίας σε σχολεία στο πλαίσιο συμφωνίας μεταξύ της ΚΕΔΕ και του Υπουργείου Εργασίας, Κοινωνικής Ασφάλισης και Κοινωνικής Αλληλεγγύης σε πανελλήνιο επίπεδο, για την κάλυψη τοπικών αναγκών σε κοινωνικές υπηρεσίες. Πρόκειται για βοηθητικό προσωπικό 2 ΔΕ σχολικών βοηθών και 12 ΔΕ γενικών καθηκόντων.</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ab/>
        <w:t>Οι υπόλοιπες 58 θέσεις κατανέμονται ως εξής:</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- 8 ΥΕ βοηθητικό προσωπικό καθαριότητας.</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- 9 ΥΕ εργατών πρασίνου – κηπουρών.</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- 4 ΥΕ καθαριστριών εσωτερικών χώρων.</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- 14 ΔΕ διοικητικού.</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xml:space="preserve"> -1 ΠΕ διοικητικού.</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- 1 ΤΕ λογιστικού.</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- 2 ΔΕ οδηγών με άδεια οδήγησης Γ’ κατηγορίας.</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- 1 ΤΕ πληροφορικής.</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- 1 ΔΕ πληροφορικής.</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lastRenderedPageBreak/>
        <w:t>- 1 ΤΕ τοπογράφων.</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- 1 ΠΕ αγρονόμων τοπογράφων.</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- 8 ΥΕ εργατών οικοδομής.</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- 1 ΤΕ βρεφονηπιοκόμων.</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- 2 ΔΕ βρεφοκόμων.</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- 2 ΥΕ βοηθητικού προσωπικού.</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-1 ΔΕ γενικών καθηκόντων .</w:t>
      </w:r>
    </w:p>
    <w:p w:rsidR="007E4B4E" w:rsidRPr="007E4B4E" w:rsidRDefault="007E4B4E" w:rsidP="007E4B4E">
      <w:pPr>
        <w:spacing w:line="360" w:lineRule="auto"/>
        <w:jc w:val="both"/>
        <w:rPr>
          <w:rFonts w:asciiTheme="minorHAnsi" w:hAnsiTheme="minorHAnsi" w:cstheme="minorHAnsi"/>
        </w:rPr>
      </w:pPr>
      <w:r w:rsidRPr="007E4B4E">
        <w:rPr>
          <w:rFonts w:asciiTheme="minorHAnsi" w:hAnsiTheme="minorHAnsi" w:cstheme="minorHAnsi"/>
        </w:rPr>
        <w:t>-1 ΤΕ βιβλιοθηκονόμων.</w:t>
      </w:r>
    </w:p>
    <w:p w:rsidR="007E4B4E" w:rsidRPr="007E4B4E" w:rsidRDefault="007E4B4E" w:rsidP="007E4B4E">
      <w:pPr>
        <w:spacing w:line="360" w:lineRule="auto"/>
        <w:ind w:firstLine="720"/>
        <w:jc w:val="both"/>
        <w:rPr>
          <w:rFonts w:asciiTheme="minorHAnsi" w:hAnsiTheme="minorHAnsi" w:cstheme="minorHAnsi"/>
        </w:rPr>
      </w:pPr>
      <w:r w:rsidRPr="007E4B4E">
        <w:rPr>
          <w:rFonts w:asciiTheme="minorHAnsi" w:hAnsiTheme="minorHAnsi" w:cstheme="minorHAnsi"/>
        </w:rPr>
        <w:t>Πρόκειται για τη μια «νέα γενιά προγραμμάτων απασχόλησης κοινωφελούς χαρακτήρα», , που χρηματοδοτείται από ευρωπαϊκούς και εθνικούς πόρους.</w:t>
      </w:r>
    </w:p>
    <w:p w:rsidR="007E4B4E" w:rsidRPr="007E4B4E" w:rsidRDefault="007E4B4E" w:rsidP="007E4B4E">
      <w:pPr>
        <w:spacing w:line="360" w:lineRule="auto"/>
        <w:ind w:firstLine="720"/>
        <w:jc w:val="both"/>
        <w:rPr>
          <w:rFonts w:asciiTheme="minorHAnsi" w:hAnsiTheme="minorHAnsi" w:cstheme="minorHAnsi"/>
        </w:rPr>
      </w:pPr>
      <w:r w:rsidRPr="007E4B4E">
        <w:rPr>
          <w:rFonts w:asciiTheme="minorHAnsi" w:hAnsiTheme="minorHAnsi" w:cstheme="minorHAnsi"/>
        </w:rPr>
        <w:t>Το πρόγραμμα απευθύνεται κυρίως σε μακροχρόνια ανέργους (απαιτείται σχετική βεβαίωση  από τον ΟΑΕΔ), ενώ η καινοτομία του σε σχέση με τα προηγούμενα προγράμματα είναι η αντιστοίχιση των θέσεων με συγκεκριμένα έργα που θα έχουν μετρήσιμα αποτελέσματα όσον αφορά στη βελτίωση της καθημερινής ζωής των κατοίκων.</w:t>
      </w:r>
    </w:p>
    <w:p w:rsidR="007E4B4E" w:rsidRPr="007E4B4E" w:rsidRDefault="007E4B4E" w:rsidP="007E4B4E">
      <w:pPr>
        <w:spacing w:line="360" w:lineRule="auto"/>
        <w:ind w:firstLine="720"/>
        <w:jc w:val="both"/>
        <w:rPr>
          <w:rFonts w:asciiTheme="minorHAnsi" w:hAnsiTheme="minorHAnsi" w:cstheme="minorHAnsi"/>
        </w:rPr>
      </w:pPr>
      <w:r w:rsidRPr="007E4B4E">
        <w:rPr>
          <w:rFonts w:asciiTheme="minorHAnsi" w:hAnsiTheme="minorHAnsi" w:cstheme="minorHAnsi"/>
        </w:rPr>
        <w:t>Τα έργα αυτά περιλαμβάνουν -μεταξύ άλλων- δράσεις:</w:t>
      </w:r>
    </w:p>
    <w:p w:rsidR="007E4B4E" w:rsidRPr="007E4B4E" w:rsidRDefault="007E4B4E" w:rsidP="007E4B4E">
      <w:pPr>
        <w:numPr>
          <w:ilvl w:val="0"/>
          <w:numId w:val="18"/>
        </w:numPr>
        <w:tabs>
          <w:tab w:val="left" w:pos="1701"/>
        </w:tabs>
        <w:spacing w:line="360" w:lineRule="auto"/>
        <w:ind w:left="851" w:firstLine="425"/>
        <w:contextualSpacing/>
        <w:jc w:val="both"/>
        <w:rPr>
          <w:rFonts w:asciiTheme="minorHAnsi" w:hAnsiTheme="minorHAnsi" w:cstheme="minorHAnsi"/>
        </w:rPr>
      </w:pPr>
      <w:r w:rsidRPr="007E4B4E">
        <w:rPr>
          <w:rFonts w:asciiTheme="minorHAnsi" w:eastAsia="Calibri" w:hAnsiTheme="minorHAnsi" w:cstheme="minorHAnsi"/>
        </w:rPr>
        <w:t xml:space="preserve">βελτίωσης των παρεχόμενων υπηρεσιών προς τους πολίτες σε τομείς, όπως οι δημοτικές βιβλιοθήκες και οι βρεφονηπιακοί σταθμοί, </w:t>
      </w:r>
    </w:p>
    <w:p w:rsidR="007E4B4E" w:rsidRPr="007E4B4E" w:rsidRDefault="007E4B4E" w:rsidP="007E4B4E">
      <w:pPr>
        <w:numPr>
          <w:ilvl w:val="0"/>
          <w:numId w:val="18"/>
        </w:numPr>
        <w:tabs>
          <w:tab w:val="left" w:pos="1701"/>
        </w:tabs>
        <w:spacing w:line="360" w:lineRule="auto"/>
        <w:ind w:left="851" w:firstLine="425"/>
        <w:contextualSpacing/>
        <w:jc w:val="both"/>
        <w:rPr>
          <w:rFonts w:asciiTheme="minorHAnsi" w:hAnsiTheme="minorHAnsi" w:cstheme="minorHAnsi"/>
        </w:rPr>
      </w:pPr>
      <w:r w:rsidRPr="007E4B4E">
        <w:rPr>
          <w:rFonts w:asciiTheme="minorHAnsi" w:eastAsia="Calibri" w:hAnsiTheme="minorHAnsi" w:cstheme="minorHAnsi"/>
        </w:rPr>
        <w:t xml:space="preserve">αναβάθμισης και συντήρησης υποδομών, όπως συντηρήσεις κοινόχρηστων χώρων και πεζοδρομίων και </w:t>
      </w:r>
    </w:p>
    <w:p w:rsidR="007E4B4E" w:rsidRPr="007E4B4E" w:rsidRDefault="007E4B4E" w:rsidP="007E4B4E">
      <w:pPr>
        <w:numPr>
          <w:ilvl w:val="0"/>
          <w:numId w:val="18"/>
        </w:numPr>
        <w:tabs>
          <w:tab w:val="left" w:pos="1701"/>
        </w:tabs>
        <w:spacing w:line="360" w:lineRule="auto"/>
        <w:ind w:left="851" w:firstLine="425"/>
        <w:contextualSpacing/>
        <w:jc w:val="both"/>
        <w:rPr>
          <w:rFonts w:asciiTheme="minorHAnsi" w:hAnsiTheme="minorHAnsi" w:cstheme="minorHAnsi"/>
        </w:rPr>
      </w:pPr>
      <w:r w:rsidRPr="007E4B4E">
        <w:rPr>
          <w:rFonts w:asciiTheme="minorHAnsi" w:eastAsia="Calibri" w:hAnsiTheme="minorHAnsi" w:cstheme="minorHAnsi"/>
        </w:rPr>
        <w:t>προστασίας του περιβάλλοντος, όπως η βελτίωση του συστήματος συλλογής και αποκομιδής απορριμμάτων και η ενίσχυση της Υπηρεσίας Πρασίνου.</w:t>
      </w:r>
    </w:p>
    <w:p w:rsidR="007E4B4E" w:rsidRPr="007E4B4E" w:rsidRDefault="007E4B4E" w:rsidP="007E4B4E">
      <w:pPr>
        <w:spacing w:line="360" w:lineRule="auto"/>
        <w:ind w:firstLine="720"/>
        <w:jc w:val="both"/>
        <w:rPr>
          <w:rFonts w:asciiTheme="minorHAnsi" w:hAnsiTheme="minorHAnsi" w:cstheme="minorHAnsi"/>
        </w:rPr>
      </w:pPr>
      <w:r w:rsidRPr="007E4B4E">
        <w:rPr>
          <w:rFonts w:asciiTheme="minorHAnsi" w:hAnsiTheme="minorHAnsi" w:cstheme="minorHAnsi"/>
        </w:rPr>
        <w:t>Παράλληλα δίνεται για πρώτη φορά η δυνατότητα στους συμμετέχοντες να συμμετέχουν σε δράσεις συμβουλευτικής και κατάρτισης (εφόσον το επιθυμούν).</w:t>
      </w:r>
    </w:p>
    <w:p w:rsidR="007E4B4E" w:rsidRPr="007E4B4E" w:rsidRDefault="007E4B4E" w:rsidP="007E4B4E">
      <w:pPr>
        <w:spacing w:line="360" w:lineRule="auto"/>
        <w:ind w:firstLine="720"/>
        <w:jc w:val="both"/>
        <w:rPr>
          <w:rFonts w:asciiTheme="minorHAnsi" w:hAnsiTheme="minorHAnsi" w:cstheme="minorHAnsi"/>
        </w:rPr>
      </w:pPr>
      <w:r w:rsidRPr="007E4B4E">
        <w:rPr>
          <w:rFonts w:asciiTheme="minorHAnsi" w:hAnsiTheme="minorHAnsi" w:cstheme="minorHAnsi"/>
        </w:rPr>
        <w:t>Η προσπάθεια του Δήμου Κω στοχεύει στην ανακούφιση συμπατριωτών μας και ιδιαίτερα νέων ανθρώπων που αναζητούν εργασία. Η 8μηνη αυτή απασχόληση είναι μια μικρή ανακούφιση για όλους αυτούς τους ανθρώπους προκειμένου να αποκτήσουν ένα εισόδημα αλλά και νέες γνώσεις και δεξιότητες.</w:t>
      </w:r>
    </w:p>
    <w:p w:rsidR="007E4B4E" w:rsidRPr="007E4B4E" w:rsidRDefault="007E4B4E" w:rsidP="007E4B4E">
      <w:pPr>
        <w:spacing w:line="360" w:lineRule="auto"/>
        <w:ind w:firstLine="720"/>
        <w:jc w:val="both"/>
        <w:rPr>
          <w:rFonts w:asciiTheme="minorHAnsi" w:hAnsiTheme="minorHAnsi" w:cstheme="minorHAnsi"/>
        </w:rPr>
      </w:pPr>
      <w:r w:rsidRPr="007E4B4E">
        <w:rPr>
          <w:rFonts w:asciiTheme="minorHAnsi" w:hAnsiTheme="minorHAnsi" w:cstheme="minorHAnsi"/>
        </w:rPr>
        <w:t>Ο Δήμος Κω αναμένει τη σχετική έγκριση για να προχωρήσει στη διαδικασία κατάθεσης των αιτήσεων από τους ενδιαφερομένους.</w:t>
      </w:r>
    </w:p>
    <w:p w:rsidR="005504AA" w:rsidRPr="007E4B4E" w:rsidRDefault="007E4B4E" w:rsidP="00ED49A6">
      <w:pPr>
        <w:spacing w:line="360" w:lineRule="auto"/>
        <w:jc w:val="both"/>
        <w:rPr>
          <w:rFonts w:asciiTheme="minorHAnsi" w:hAnsiTheme="minorHAnsi" w:cstheme="minorHAnsi"/>
          <w:b/>
          <w:bCs/>
          <w:u w:val="single"/>
        </w:rPr>
      </w:pPr>
      <w:r w:rsidRPr="007E4B4E">
        <w:rPr>
          <w:rFonts w:asciiTheme="minorHAnsi" w:hAnsiTheme="minorHAnsi" w:cstheme="minorHAnsi"/>
        </w:rPr>
        <w:t>Ο χρόνος και η προθεσμία κατάθεσης των αιτήσεων, θα ανακοινωθεί με νεότερο δελτίο Τύπου.</w:t>
      </w:r>
    </w:p>
    <w:p w:rsidR="008B609F" w:rsidRPr="007E4B4E" w:rsidRDefault="008B609F" w:rsidP="005504AA">
      <w:pPr>
        <w:jc w:val="center"/>
        <w:rPr>
          <w:rFonts w:asciiTheme="minorHAnsi" w:hAnsiTheme="minorHAnsi" w:cstheme="minorHAnsi"/>
          <w:b/>
          <w:bCs/>
          <w:u w:val="single"/>
        </w:rPr>
      </w:pPr>
    </w:p>
    <w:p w:rsidR="008B609F" w:rsidRPr="007E4B4E" w:rsidRDefault="008B609F" w:rsidP="005504AA">
      <w:pPr>
        <w:jc w:val="center"/>
        <w:rPr>
          <w:rFonts w:asciiTheme="minorHAnsi" w:hAnsiTheme="minorHAnsi" w:cstheme="minorHAnsi"/>
          <w:b/>
          <w:bCs/>
          <w:u w:val="single"/>
        </w:rPr>
      </w:pPr>
    </w:p>
    <w:p w:rsidR="008B609F" w:rsidRPr="007E4B4E" w:rsidRDefault="008B609F" w:rsidP="0052789C">
      <w:pPr>
        <w:rPr>
          <w:rFonts w:asciiTheme="minorHAnsi" w:hAnsiTheme="minorHAnsi" w:cstheme="minorHAnsi"/>
          <w:b/>
          <w:bCs/>
          <w:u w:val="single"/>
        </w:rPr>
      </w:pPr>
    </w:p>
    <w:p w:rsidR="008B609F" w:rsidRPr="008B609F" w:rsidRDefault="008B609F" w:rsidP="005504AA">
      <w:pPr>
        <w:jc w:val="center"/>
        <w:rPr>
          <w:rFonts w:asciiTheme="minorHAnsi" w:hAnsiTheme="minorHAnsi" w:cs="Arial"/>
          <w:b/>
          <w:bCs/>
        </w:rPr>
      </w:pPr>
      <w:r w:rsidRPr="007E4B4E">
        <w:rPr>
          <w:rFonts w:asciiTheme="minorHAnsi" w:hAnsiTheme="minorHAnsi" w:cstheme="minorHAnsi"/>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D2" w:rsidRDefault="003458D2" w:rsidP="0034192E">
      <w:r>
        <w:separator/>
      </w:r>
    </w:p>
  </w:endnote>
  <w:endnote w:type="continuationSeparator" w:id="0">
    <w:p w:rsidR="003458D2" w:rsidRDefault="003458D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8A3DFD">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D2" w:rsidRDefault="003458D2" w:rsidP="0034192E">
      <w:r>
        <w:separator/>
      </w:r>
    </w:p>
  </w:footnote>
  <w:footnote w:type="continuationSeparator" w:id="0">
    <w:p w:rsidR="003458D2" w:rsidRDefault="003458D2"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49E30FB"/>
    <w:multiLevelType w:val="multilevel"/>
    <w:tmpl w:val="7A302234"/>
    <w:lvl w:ilvl="0">
      <w:start w:val="1"/>
      <w:numFmt w:val="bullet"/>
      <w:lvlText w:val="➢"/>
      <w:lvlJc w:val="left"/>
      <w:pPr>
        <w:ind w:left="1495" w:firstLine="1135"/>
      </w:pPr>
      <w:rPr>
        <w:rFonts w:ascii="Arial" w:eastAsia="Arial" w:hAnsi="Arial" w:cs="Arial"/>
      </w:rPr>
    </w:lvl>
    <w:lvl w:ilvl="1">
      <w:start w:val="1"/>
      <w:numFmt w:val="bullet"/>
      <w:lvlText w:val="o"/>
      <w:lvlJc w:val="left"/>
      <w:pPr>
        <w:ind w:left="2215" w:firstLine="1855"/>
      </w:pPr>
      <w:rPr>
        <w:rFonts w:ascii="Arial" w:eastAsia="Arial" w:hAnsi="Arial" w:cs="Arial"/>
      </w:rPr>
    </w:lvl>
    <w:lvl w:ilvl="2">
      <w:start w:val="1"/>
      <w:numFmt w:val="bullet"/>
      <w:lvlText w:val="▪"/>
      <w:lvlJc w:val="left"/>
      <w:pPr>
        <w:ind w:left="2935" w:firstLine="2575"/>
      </w:pPr>
      <w:rPr>
        <w:rFonts w:ascii="Arial" w:eastAsia="Arial" w:hAnsi="Arial" w:cs="Arial"/>
      </w:rPr>
    </w:lvl>
    <w:lvl w:ilvl="3">
      <w:start w:val="1"/>
      <w:numFmt w:val="bullet"/>
      <w:lvlText w:val="●"/>
      <w:lvlJc w:val="left"/>
      <w:pPr>
        <w:ind w:left="3655" w:firstLine="3295"/>
      </w:pPr>
      <w:rPr>
        <w:rFonts w:ascii="Arial" w:eastAsia="Arial" w:hAnsi="Arial" w:cs="Arial"/>
      </w:rPr>
    </w:lvl>
    <w:lvl w:ilvl="4">
      <w:start w:val="1"/>
      <w:numFmt w:val="bullet"/>
      <w:lvlText w:val="o"/>
      <w:lvlJc w:val="left"/>
      <w:pPr>
        <w:ind w:left="4375" w:firstLine="4015"/>
      </w:pPr>
      <w:rPr>
        <w:rFonts w:ascii="Arial" w:eastAsia="Arial" w:hAnsi="Arial" w:cs="Arial"/>
      </w:rPr>
    </w:lvl>
    <w:lvl w:ilvl="5">
      <w:start w:val="1"/>
      <w:numFmt w:val="bullet"/>
      <w:lvlText w:val="▪"/>
      <w:lvlJc w:val="left"/>
      <w:pPr>
        <w:ind w:left="5095" w:firstLine="4735"/>
      </w:pPr>
      <w:rPr>
        <w:rFonts w:ascii="Arial" w:eastAsia="Arial" w:hAnsi="Arial" w:cs="Arial"/>
      </w:rPr>
    </w:lvl>
    <w:lvl w:ilvl="6">
      <w:start w:val="1"/>
      <w:numFmt w:val="bullet"/>
      <w:lvlText w:val="●"/>
      <w:lvlJc w:val="left"/>
      <w:pPr>
        <w:ind w:left="5815" w:firstLine="5455"/>
      </w:pPr>
      <w:rPr>
        <w:rFonts w:ascii="Arial" w:eastAsia="Arial" w:hAnsi="Arial" w:cs="Arial"/>
      </w:rPr>
    </w:lvl>
    <w:lvl w:ilvl="7">
      <w:start w:val="1"/>
      <w:numFmt w:val="bullet"/>
      <w:lvlText w:val="o"/>
      <w:lvlJc w:val="left"/>
      <w:pPr>
        <w:ind w:left="6535" w:firstLine="6175"/>
      </w:pPr>
      <w:rPr>
        <w:rFonts w:ascii="Arial" w:eastAsia="Arial" w:hAnsi="Arial" w:cs="Arial"/>
      </w:rPr>
    </w:lvl>
    <w:lvl w:ilvl="8">
      <w:start w:val="1"/>
      <w:numFmt w:val="bullet"/>
      <w:lvlText w:val="▪"/>
      <w:lvlJc w:val="left"/>
      <w:pPr>
        <w:ind w:left="7255" w:firstLine="6895"/>
      </w:pPr>
      <w:rPr>
        <w:rFonts w:ascii="Arial" w:eastAsia="Arial" w:hAnsi="Arial" w:cs="Arial"/>
      </w:rPr>
    </w:lvl>
  </w:abstractNum>
  <w:abstractNum w:abstractNumId="10"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6"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7"/>
  </w:num>
  <w:num w:numId="4">
    <w:abstractNumId w:val="14"/>
  </w:num>
  <w:num w:numId="5">
    <w:abstractNumId w:val="0"/>
  </w:num>
  <w:num w:numId="6">
    <w:abstractNumId w:val="6"/>
  </w:num>
  <w:num w:numId="7">
    <w:abstractNumId w:val="1"/>
  </w:num>
  <w:num w:numId="8">
    <w:abstractNumId w:val="2"/>
  </w:num>
  <w:num w:numId="9">
    <w:abstractNumId w:val="12"/>
  </w:num>
  <w:num w:numId="10">
    <w:abstractNumId w:val="7"/>
  </w:num>
  <w:num w:numId="11">
    <w:abstractNumId w:val="16"/>
  </w:num>
  <w:num w:numId="12">
    <w:abstractNumId w:val="15"/>
  </w:num>
  <w:num w:numId="13">
    <w:abstractNumId w:val="3"/>
  </w:num>
  <w:num w:numId="14">
    <w:abstractNumId w:val="11"/>
  </w:num>
  <w:num w:numId="15">
    <w:abstractNumId w:val="5"/>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174DB"/>
    <w:rsid w:val="000551FB"/>
    <w:rsid w:val="00065CFC"/>
    <w:rsid w:val="000A3A64"/>
    <w:rsid w:val="000C0C9A"/>
    <w:rsid w:val="000C2DB4"/>
    <w:rsid w:val="000D5DC3"/>
    <w:rsid w:val="000E18D1"/>
    <w:rsid w:val="000E4868"/>
    <w:rsid w:val="000F2A6D"/>
    <w:rsid w:val="000F51A0"/>
    <w:rsid w:val="00110696"/>
    <w:rsid w:val="00112FA3"/>
    <w:rsid w:val="00113201"/>
    <w:rsid w:val="00123DDC"/>
    <w:rsid w:val="00126BF2"/>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38B9"/>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458D2"/>
    <w:rsid w:val="00352C88"/>
    <w:rsid w:val="00363E2D"/>
    <w:rsid w:val="00374520"/>
    <w:rsid w:val="003813C9"/>
    <w:rsid w:val="00382881"/>
    <w:rsid w:val="00390AE5"/>
    <w:rsid w:val="003A19C5"/>
    <w:rsid w:val="003A5337"/>
    <w:rsid w:val="003A64A4"/>
    <w:rsid w:val="003B04B8"/>
    <w:rsid w:val="003B2450"/>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2789C"/>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E4B4E"/>
    <w:rsid w:val="007F53D2"/>
    <w:rsid w:val="008030E1"/>
    <w:rsid w:val="00803EB1"/>
    <w:rsid w:val="0080691B"/>
    <w:rsid w:val="00817F27"/>
    <w:rsid w:val="00820E66"/>
    <w:rsid w:val="008325FE"/>
    <w:rsid w:val="00835513"/>
    <w:rsid w:val="0083703B"/>
    <w:rsid w:val="00851528"/>
    <w:rsid w:val="008544C4"/>
    <w:rsid w:val="00887A4E"/>
    <w:rsid w:val="00896B2A"/>
    <w:rsid w:val="008A3DFD"/>
    <w:rsid w:val="008B609F"/>
    <w:rsid w:val="008C7B14"/>
    <w:rsid w:val="008E4C73"/>
    <w:rsid w:val="008F2E1D"/>
    <w:rsid w:val="008F3B6D"/>
    <w:rsid w:val="008F4FE8"/>
    <w:rsid w:val="008F67F3"/>
    <w:rsid w:val="00926934"/>
    <w:rsid w:val="009305A5"/>
    <w:rsid w:val="00941927"/>
    <w:rsid w:val="009502A8"/>
    <w:rsid w:val="00960FB6"/>
    <w:rsid w:val="00963E37"/>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D49A6"/>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 w:val="00FF15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DF5F14-BACB-4602-8605-524ADCB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47D07F-3DC2-492B-AD11-81DAA90FB369}"/>
</file>

<file path=customXml/itemProps2.xml><?xml version="1.0" encoding="utf-8"?>
<ds:datastoreItem xmlns:ds="http://schemas.openxmlformats.org/officeDocument/2006/customXml" ds:itemID="{0CD7D80C-7DE5-4273-990D-CFB90000A6F6}"/>
</file>

<file path=customXml/itemProps3.xml><?xml version="1.0" encoding="utf-8"?>
<ds:datastoreItem xmlns:ds="http://schemas.openxmlformats.org/officeDocument/2006/customXml" ds:itemID="{58FCED15-2457-4996-B151-76413D3E9E28}"/>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2514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10</cp:revision>
  <cp:lastPrinted>2015-08-10T09:02:00Z</cp:lastPrinted>
  <dcterms:created xsi:type="dcterms:W3CDTF">2016-10-12T07:19:00Z</dcterms:created>
  <dcterms:modified xsi:type="dcterms:W3CDTF">2016-10-12T07:26:00Z</dcterms:modified>
</cp:coreProperties>
</file>